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784B" w14:textId="08496156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38B6D4D2" w:rsidR="00A94601" w:rsidRPr="004E03D5" w:rsidRDefault="00A94601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 w:rsidR="00F20A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MAdIgIAADoEAAAOAAAAZHJzL2Uyb0RvYy54bWysU8mO2zAMvRfoPwi6N16azCRGnEGQpSgw&#13;&#10;XYBpP0CWZVuoLKmUEnv69aWUZdLlVNQHgTSpJ/Lxcfkw9oocBThpdEmzSUqJ0NzUUrcl/fpl/2ZO&#13;&#10;ifNM10wZLUr6LBx9WL1+tRxsIXLTGVULIAiiXTHYknbe2yJJHO9Ez9zEWKEx2BjomUcX2qQGNiB6&#13;&#10;r5I8Te+SwUBtwXDhHP7dnoJ0FfGbRnD/qWmc8ESVFGvz8YR4VuFMVktWtMBsJ/m5DPYPVfRManz0&#13;&#10;CrVlnpEDyD+gesnBONP4CTd9YppGchF7wG6y9LdunjpmRewFyXH2SpP7f7D84/HJfoZQurOPhn9z&#13;&#10;RJtNx3Qr1gBm6ASr8bksEJUM1hXXC8FxeJVUwwdT42jZwZvIwdhAHwCxOzJGqp+vVIvRE44/s/ls&#13;&#10;cf8WxcExli/yLI2zSFhxuW3B+XfC9CQYJQUcZURnx0fnQzWsuKTE6o2S9V4qFR1oq40CcmQ49u1u&#13;&#10;t97fxQawyds0pclQ0sUsn1HCVIsC5h7iI7+kuVu0NH5/Q+ulRykr2Zd0fk1iRWBwp+soNM+kOtlY&#13;&#10;vdKhVBFFem7pwmmQryv8WI14LZiVqZ+RajAnAePCodEZ+EHJgOItqft+YCAoUe81jmuRTadB7dGZ&#13;&#10;zu5zdOA2Ut1GmOYIVVKPLERz408bcrAg2w5fyiIp2qxxxI2M7L9UdRYGCjQO5bxMYQNu/Zj1svKr&#13;&#10;nwAAAP//AwBQSwMEFAAGAAgAAAAhAFnhYqLkAAAAEwEAAA8AAABkcnMvZG93bnJldi54bWxMj91u&#13;&#10;gzAMhe8n7R0iT9rN1AYiQRklVPvVrtftAVKSAi1xGEmBvf3M1Xpjyfbx8fmK3Ww7NprBtw4lxOsI&#13;&#10;mMHK6RZrCd9f76sMmA8KteocGgm/xsOuvL0pVK7dhJ9m3IeakQn6XEloQuhzzn3VGKv82vUGaXd0&#13;&#10;g1WB2qHmelATmduOiyhKuVUt0odG9ealMdV5f7ESTs/Jx7QRc/wm/E8QDy0/Zf0o5f3d/Lql8rQF&#13;&#10;Fswc/i9gYaD8UFKwg7ug9qyTsBFJSlIJq/gxJZJFEsVZAuywzJIoA14W/Jql/AMAAP//AwBQSwEC&#13;&#10;LQAUAAYACAAAACEAtoM4kv4AAADhAQAAEwAAAAAAAAAAAAAAAAAAAAAAW0NvbnRlbnRfVHlwZXNd&#13;&#10;LnhtbFBLAQItABQABgAIAAAAIQA4/SH/1gAAAJQBAAALAAAAAAAAAAAAAAAAAC8BAABfcmVscy8u&#13;&#10;cmVsc1BLAQItABQABgAIAAAAIQC1CMAdIgIAADoEAAAOAAAAAAAAAAAAAAAAAC4CAABkcnMvZTJv&#13;&#10;RG9jLnhtbFBLAQItABQABgAIAAAAIQBZ4WKi5AAAABMBAAAPAAAAAAAAAAAAAAAAAHwEAABkcnMv&#13;&#10;ZG93bnJldi54bWxQSwUGAAAAAAQABADzAAAAjQUAAAAA&#13;&#10;" fillcolor="#deeaf6">
                <v:textbox>
                  <w:txbxContent>
                    <w:p w14:paraId="449E4009" w14:textId="38B6D4D2" w:rsidR="00A94601" w:rsidRPr="004E03D5" w:rsidRDefault="00A94601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 w:rsidR="00F20A4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</w:t>
      </w:r>
      <w:r w:rsidR="00F20A46">
        <w:rPr>
          <w:rFonts w:ascii="TH SarabunPSK" w:hAnsi="TH SarabunPSK" w:cs="TH SarabunPSK"/>
          <w:b/>
          <w:bCs/>
          <w:sz w:val="32"/>
          <w:szCs w:val="32"/>
        </w:rPr>
        <w:t>SCI-TSU 0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415D9B9B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FB520A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FB520A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AcceptAllChangesInDoc ......... </w:instrText>
      </w:r>
      <w:r w:rsidRPr="00FB520A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B520A" w:rsidRPr="00FB520A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="00FB520A" w:rsidRPr="00FB520A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AcceptAllChangesInDoc ......... </w:instrText>
      </w:r>
      <w:r w:rsidR="00FB520A" w:rsidRPr="00FB520A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3D44151C" w:rsidR="00413486" w:rsidRPr="00905255" w:rsidRDefault="000E47EF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259600A4" w14:textId="3A05E000" w:rsidR="000E47EF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0000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77BDF9B7" w:rsidR="00AD56DC" w:rsidRPr="00905255" w:rsidRDefault="00000000" w:rsidP="00BB64A4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</w:t>
            </w:r>
            <w:r w:rsidRPr="00905255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300" w:type="dxa"/>
          </w:tcPr>
          <w:p w14:paraId="47FB69D2" w14:textId="1559A823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F79A97" w:rsidR="007955AA" w:rsidRPr="00905255" w:rsidRDefault="007955AA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6DA170F4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360E5130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2.1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 xml:space="preserve">course learning outcomes: CLO)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</w:rPr>
        <w:t>(</w:t>
      </w:r>
      <w:r w:rsidR="00F20A46">
        <w:rPr>
          <w:rFonts w:ascii="TH SarabunPSK" w:hAnsi="TH SarabunPSK" w:cs="TH SarabunPSK"/>
          <w:b/>
          <w:bCs/>
          <w:sz w:val="28"/>
        </w:rPr>
        <w:t>SCI-TSU 0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AD56DC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AD56DC" w:rsidRDefault="00A66456" w:rsidP="00AD56DC">
            <w:pPr>
              <w:pStyle w:val="ListParagraph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77777777" w:rsidR="00A66456" w:rsidRPr="00AD56DC" w:rsidRDefault="00A66456" w:rsidP="00AD56DC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145993D8" w14:textId="77777777" w:rsidTr="00905255">
        <w:tc>
          <w:tcPr>
            <w:tcW w:w="903" w:type="dxa"/>
          </w:tcPr>
          <w:p w14:paraId="73545E2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77777777" w:rsidR="00A66456" w:rsidRPr="00AD56DC" w:rsidRDefault="00A66456" w:rsidP="00AD56DC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49154305" w14:textId="77777777" w:rsidTr="00905255">
        <w:tc>
          <w:tcPr>
            <w:tcW w:w="903" w:type="dxa"/>
          </w:tcPr>
          <w:p w14:paraId="4B8970A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77777777" w:rsidR="00A66456" w:rsidRPr="00AD56DC" w:rsidRDefault="00A66456" w:rsidP="00AD56DC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5F247635" w14:textId="77777777" w:rsidTr="00905255">
        <w:tc>
          <w:tcPr>
            <w:tcW w:w="903" w:type="dxa"/>
          </w:tcPr>
          <w:p w14:paraId="4FB8E1F8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77777777" w:rsidR="00A66456" w:rsidRPr="00AD56DC" w:rsidRDefault="00A66456" w:rsidP="00AD56DC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4BA55F2C" w14:textId="77777777" w:rsidTr="00905255">
        <w:tc>
          <w:tcPr>
            <w:tcW w:w="903" w:type="dxa"/>
          </w:tcPr>
          <w:p w14:paraId="14D7C725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vAlign w:val="center"/>
          </w:tcPr>
          <w:p w14:paraId="34FF9289" w14:textId="77777777" w:rsidR="00A66456" w:rsidRPr="00AD56DC" w:rsidRDefault="00A66456" w:rsidP="00AD56DC">
            <w:pPr>
              <w:pStyle w:val="ListParagraph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</w:tbl>
    <w:p w14:paraId="05E145CF" w14:textId="22779FC2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ทั้งหมด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ไว้ใน </w:t>
      </w:r>
      <w:r w:rsidR="00F20A46">
        <w:rPr>
          <w:rFonts w:ascii="TH SarabunPSK" w:hAnsi="TH SarabunPSK" w:cs="TH SarabunPSK"/>
          <w:i/>
          <w:iCs/>
          <w:color w:val="FF0000"/>
          <w:sz w:val="24"/>
          <w:szCs w:val="24"/>
        </w:rPr>
        <w:t>SCI-TSU 0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3FF7EB5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รายละเอียดของรายวิชา </w:t>
      </w:r>
      <w:r w:rsidR="000A190E" w:rsidRPr="00AD56DC">
        <w:rPr>
          <w:rFonts w:ascii="TH SarabunPSK" w:hAnsi="TH SarabunPSK" w:cs="TH SarabunPSK"/>
          <w:b/>
          <w:bCs/>
          <w:sz w:val="28"/>
        </w:rPr>
        <w:t>(</w:t>
      </w:r>
      <w:r w:rsidR="00F20A46">
        <w:rPr>
          <w:rFonts w:ascii="TH SarabunPSK" w:hAnsi="TH SarabunPSK" w:cs="TH SarabunPSK"/>
          <w:b/>
          <w:bCs/>
          <w:sz w:val="28"/>
        </w:rPr>
        <w:t>SCI-TSU 0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TableGrid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9679D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9679DE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(Course Learning Outcomes: CLOs)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n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7F264A2B" w:rsidR="00C346B7" w:rsidRPr="00AD56DC" w:rsidRDefault="00C346B7" w:rsidP="00FE7BFA">
            <w:pPr>
              <w:pStyle w:val="ListParagraph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2EB80A4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58B9618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068D961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0022D13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6D58F13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AD56DC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77777777" w:rsidR="00FF1C7B" w:rsidRPr="00FB520A" w:rsidRDefault="00FF1C7B" w:rsidP="00FB520A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FB520A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(ระบุปีการศึกษาที่ปรับปรุงล่าสุด)</w:t>
            </w:r>
          </w:p>
        </w:tc>
        <w:tc>
          <w:tcPr>
            <w:tcW w:w="1260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77777777" w:rsidR="00FF1C7B" w:rsidRPr="00FB520A" w:rsidRDefault="00FF1C7B" w:rsidP="00FB520A">
            <w:pPr>
              <w:ind w:right="-108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FB520A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(ระบุระบบเทคโนโลยีสารสนเทศที่รายวิชาใช้เพิ่มประสิทธิภาพการจัดการเรียนการสอน)</w:t>
            </w:r>
          </w:p>
        </w:tc>
        <w:tc>
          <w:tcPr>
            <w:tcW w:w="1260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77777777" w:rsidR="00FF1C7B" w:rsidRPr="00FB520A" w:rsidRDefault="00735467" w:rsidP="00FB520A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FB520A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(อธิบายวิธีการที่ใช้ดำเนินการ)</w:t>
            </w:r>
          </w:p>
        </w:tc>
        <w:tc>
          <w:tcPr>
            <w:tcW w:w="1260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AD56DC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77777777" w:rsidR="00A706CF" w:rsidRPr="00AD56DC" w:rsidRDefault="00A706CF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6014722A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 w:hint="cs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0726A62F" w:rsidR="00755F84" w:rsidRPr="00AD56DC" w:rsidRDefault="00FB520A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63CF2993" w:rsidR="00755F84" w:rsidRPr="00AD56DC" w:rsidRDefault="00FB520A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15B9ECE0" w:rsidR="00755F84" w:rsidRPr="00AD56DC" w:rsidRDefault="00FB520A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6E9B6237" w:rsidR="00755F84" w:rsidRPr="00AD56DC" w:rsidRDefault="00FB520A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428377C0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7486B8BB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E2167DB" w14:textId="77777777" w:rsidR="00F20A46" w:rsidRDefault="00F20A4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23757861" w14:textId="62388A60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</w:rPr>
        <w:t xml:space="preserve">: </w:t>
      </w:r>
    </w:p>
    <w:p w14:paraId="69C95B82" w14:textId="5C44E5F8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>ในตาราง เพิ่มเติม)</w:t>
      </w:r>
      <w:r w:rsidR="00A327A5" w:rsidRPr="00AD56DC">
        <w:rPr>
          <w:rFonts w:ascii="TH SarabunPSK" w:hAnsi="TH SarabunPSK" w:cs="TH SarabunPSK"/>
          <w:sz w:val="28"/>
        </w:rPr>
        <w:t xml:space="preserve"> </w:t>
      </w:r>
      <w:r w:rsidR="00A327A5" w:rsidRPr="00AD56DC">
        <w:rPr>
          <w:rFonts w:ascii="TH SarabunPSK" w:hAnsi="TH SarabunPSK" w:cs="TH SarabunPSK"/>
          <w:sz w:val="28"/>
          <w:cs/>
        </w:rPr>
        <w:t xml:space="preserve">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368E9A05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4A65A388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0BB28B50" w14:textId="74E66E5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7CD42C25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20A2FD6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6273EDBD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2A4F8302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(Course Learning Outcomes: CLOs)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2ABD0A2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7707B64E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0B86FE64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0FCB2FC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5B8F8B55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6B4FDF8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334D0C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420DDD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1D96F3B6" w:rsidR="00FE7BFA" w:rsidRPr="00FE7BFA" w:rsidRDefault="00D5078B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7BD9A3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7E6022E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3336AD7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7B56F36D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2BC270A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4465B5B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2B64948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4EEC2F5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0F73194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6C5C8488" w14:textId="61089D41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(W)</w:t>
            </w:r>
          </w:p>
        </w:tc>
        <w:tc>
          <w:tcPr>
            <w:tcW w:w="900" w:type="dxa"/>
          </w:tcPr>
          <w:p w14:paraId="3FB5192B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2CFE9B7C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0B1108" w:rsidRDefault="00915F2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0B1108" w:rsidRDefault="00915F2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</w:rPr>
        <w:t>*</w:t>
      </w: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7C0C7C37" w14:textId="77777777" w:rsidR="00F20A46" w:rsidRDefault="00F20A46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20FD52D7" w14:textId="529A1460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ก. ตัดสินผลเป็นเกรดที่มีแต้มประจำ </w:t>
      </w:r>
      <w:r w:rsidR="0026683A" w:rsidRPr="000B1108">
        <w:rPr>
          <w:rFonts w:ascii="TH SarabunPSK" w:hAnsi="TH SarabunPSK" w:cs="TH SarabunPSK"/>
          <w:b/>
          <w:bCs/>
          <w:sz w:val="28"/>
        </w:rPr>
        <w:t>(A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-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F)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คน)</w:t>
            </w:r>
          </w:p>
        </w:tc>
        <w:tc>
          <w:tcPr>
            <w:tcW w:w="319" w:type="pct"/>
          </w:tcPr>
          <w:p w14:paraId="1EFBF31E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42AA8331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FFDB8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ทั้งชั้นปี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วิธีคำนวณ 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= 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0B1108" w:rsidRDefault="00645C4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: 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รายวิชากำหนดเกณฑ์ตัดสินการผ่านการประเมินผลที่ เกรด 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= </w:t>
            </w:r>
            <w:r w:rsidR="000B1108">
              <w:rPr>
                <w:rFonts w:ascii="TH SarabunPSK" w:hAnsi="TH SarabunPSK" w:cs="TH SarabunPSK"/>
                <w:sz w:val="28"/>
              </w:rPr>
              <w:fldChar w:fldCharType="begin"/>
            </w:r>
            <w:r w:rsidR="000B1108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0B1108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ที่ได้แต่ละระดับ </w:t>
            </w:r>
            <w:r w:rsidR="0026683A" w:rsidRPr="000B1108">
              <w:rPr>
                <w:rFonts w:ascii="TH SarabunPSK" w:hAnsi="TH SarabunPSK" w:cs="TH SarabunPSK"/>
                <w:sz w:val="28"/>
              </w:rPr>
              <w:t>(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</w:rPr>
              <w:t xml:space="preserve"> 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3.2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6A07738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5C62C7B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U)</w:t>
      </w:r>
    </w:p>
    <w:p w14:paraId="39B4E61E" w14:textId="77777777" w:rsidR="00F20A46" w:rsidRDefault="00F20A46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11CACD8D" w14:textId="060645EA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3.4.1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2.5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3.5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2A5EF8FC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</w:t>
      </w:r>
      <w:r w:rsidR="00B836F2" w:rsidRPr="000B1108">
        <w:rPr>
          <w:rFonts w:ascii="TH SarabunPSK" w:hAnsi="TH SarabunPSK" w:cs="TH SarabunPSK"/>
          <w:sz w:val="28"/>
        </w:rPr>
        <w:t xml:space="preserve">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</w:rPr>
        <w:t xml:space="preserve">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7B008AF5" w14:textId="77777777" w:rsidR="00F20A46" w:rsidRDefault="00F20A46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D7483C6" w14:textId="7E4FEFB6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รายละเอียดของรายวิชา 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307909E5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540E28E8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3893160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3.1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4D9371A4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3.2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29C3CDF7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5.1.1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673BF0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73BF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673BF0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3BF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673BF0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673BF0" w:rsidRPr="00673BF0" w:rsidRDefault="00673BF0" w:rsidP="00673B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031C1F7C" w:rsidR="00673BF0" w:rsidRPr="00673BF0" w:rsidRDefault="00673BF0" w:rsidP="00673B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73BF0">
              <w:rPr>
                <w:rFonts w:ascii="TH SarabunPSK" w:hAnsi="TH SarabunPSK" w:cs="TH SarabunPSK"/>
                <w:sz w:val="26"/>
                <w:szCs w:val="26"/>
              </w:rPr>
              <w:t>2564</w:t>
            </w:r>
          </w:p>
        </w:tc>
        <w:tc>
          <w:tcPr>
            <w:tcW w:w="1140" w:type="dxa"/>
            <w:vAlign w:val="center"/>
          </w:tcPr>
          <w:p w14:paraId="09D089E1" w14:textId="6D901796" w:rsidR="00673BF0" w:rsidRPr="00673BF0" w:rsidRDefault="00673BF0" w:rsidP="00673B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73BF0">
              <w:rPr>
                <w:rFonts w:ascii="TH SarabunPSK" w:hAnsi="TH SarabunPSK" w:cs="TH SarabunPSK"/>
                <w:sz w:val="26"/>
                <w:szCs w:val="26"/>
              </w:rPr>
              <w:t>2565</w:t>
            </w:r>
          </w:p>
        </w:tc>
        <w:tc>
          <w:tcPr>
            <w:tcW w:w="1140" w:type="dxa"/>
            <w:vAlign w:val="center"/>
          </w:tcPr>
          <w:p w14:paraId="20463769" w14:textId="49BCF100" w:rsidR="00673BF0" w:rsidRPr="00673BF0" w:rsidRDefault="00673BF0" w:rsidP="00673B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73BF0">
              <w:rPr>
                <w:rFonts w:ascii="TH SarabunPSK" w:hAnsi="TH SarabunPSK" w:cs="TH SarabunPSK"/>
                <w:sz w:val="26"/>
                <w:szCs w:val="26"/>
              </w:rPr>
              <w:t>2566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673BF0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73BF0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73BF0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673BF0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673BF0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673BF0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673BF0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73BF0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73BF0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673BF0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673BF0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673BF0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673BF0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673BF0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73BF0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673BF0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73BF0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673BF0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673BF0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673BF0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673BF0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79FA8C26" w14:textId="77777777" w:rsidR="00673BF0" w:rsidRDefault="00673BF0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</w:p>
    <w:p w14:paraId="5B71E49C" w14:textId="4A109A41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</w:rPr>
        <w:t xml:space="preserve"> </w:t>
      </w:r>
      <w:r w:rsidR="00941D46" w:rsidRPr="00AD56DC">
        <w:rPr>
          <w:rFonts w:ascii="TH SarabunPSK" w:hAnsi="TH SarabunPSK" w:cs="TH SarabunPSK"/>
          <w:sz w:val="28"/>
          <w:cs/>
        </w:rPr>
        <w:t>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673BF0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673BF0" w:rsidRPr="00905255" w:rsidRDefault="00673BF0" w:rsidP="00673BF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3C9AEE2F" w:rsidR="00673BF0" w:rsidRPr="00905255" w:rsidRDefault="00673BF0" w:rsidP="00673BF0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0" w:type="dxa"/>
            <w:vAlign w:val="center"/>
          </w:tcPr>
          <w:p w14:paraId="57AD0555" w14:textId="6DC21E82" w:rsidR="00673BF0" w:rsidRPr="00905255" w:rsidRDefault="00673BF0" w:rsidP="00673BF0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50" w:type="dxa"/>
            <w:vAlign w:val="center"/>
          </w:tcPr>
          <w:p w14:paraId="23B2743C" w14:textId="22DC02D6" w:rsidR="00673BF0" w:rsidRPr="00905255" w:rsidRDefault="00673BF0" w:rsidP="00673BF0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750" w:type="dxa"/>
            <w:vAlign w:val="center"/>
          </w:tcPr>
          <w:p w14:paraId="1021D9EC" w14:textId="6AA04291" w:rsidR="00673BF0" w:rsidRPr="00905255" w:rsidRDefault="00673BF0" w:rsidP="00673BF0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" w:type="dxa"/>
            <w:vAlign w:val="center"/>
          </w:tcPr>
          <w:p w14:paraId="7DB1E814" w14:textId="6132F8BC" w:rsidR="00673BF0" w:rsidRPr="00905255" w:rsidRDefault="00673BF0" w:rsidP="00673BF0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50" w:type="dxa"/>
            <w:vAlign w:val="center"/>
          </w:tcPr>
          <w:p w14:paraId="2D21540F" w14:textId="09D49812" w:rsidR="00673BF0" w:rsidRPr="00905255" w:rsidRDefault="00673BF0" w:rsidP="00673BF0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750" w:type="dxa"/>
            <w:vAlign w:val="center"/>
          </w:tcPr>
          <w:p w14:paraId="72A2829C" w14:textId="259143C2" w:rsidR="00673BF0" w:rsidRPr="00905255" w:rsidRDefault="00673BF0" w:rsidP="00673BF0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0" w:type="dxa"/>
            <w:vAlign w:val="center"/>
          </w:tcPr>
          <w:p w14:paraId="5F799F98" w14:textId="77B9C776" w:rsidR="00673BF0" w:rsidRPr="00905255" w:rsidRDefault="00673BF0" w:rsidP="00673BF0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32" w:type="dxa"/>
            <w:vAlign w:val="center"/>
          </w:tcPr>
          <w:p w14:paraId="57EC6D0C" w14:textId="00223EC8" w:rsidR="00673BF0" w:rsidRPr="00905255" w:rsidRDefault="00673BF0" w:rsidP="00673BF0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3AE9E6A6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6007F2" w14:textId="77777777" w:rsidR="009679DE" w:rsidRDefault="009679DE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70CF23F" w14:textId="3462B900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5.2.1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27149FAF" w14:textId="3E79542C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5.2.2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24A6F71C" w14:textId="77777777" w:rsidR="009679DE" w:rsidRDefault="009679DE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D3EC434" w14:textId="1DA02B39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5BC5FE5D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BD920CB" w14:textId="77777777" w:rsidR="00F20A46" w:rsidRDefault="00F20A46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A02707C" w14:textId="5EDFD41C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444CE7AB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6D89C8FC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595B2453" w:rsidR="00EE279D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Pr="00EE279D">
        <w:rPr>
          <w:rFonts w:ascii="TH SarabunPSK" w:hAnsi="TH SarabunPSK" w:cs="TH SarabunPSK"/>
          <w:b/>
          <w:bCs/>
          <w:sz w:val="28"/>
        </w:rPr>
        <w:fldChar w:fldCharType="begin"/>
      </w:r>
      <w:r w:rsidRPr="00EE279D">
        <w:rPr>
          <w:rFonts w:ascii="TH SarabunPSK" w:hAnsi="TH SarabunPSK" w:cs="TH SarabunPSK"/>
          <w:b/>
          <w:bCs/>
          <w:sz w:val="28"/>
        </w:rPr>
        <w:instrText xml:space="preserve"> MACROBUTTON  AcceptAllChangesInDoc ..................................................................... </w:instrText>
      </w:r>
      <w:r w:rsidRPr="00EE279D">
        <w:rPr>
          <w:rFonts w:ascii="TH SarabunPSK" w:hAnsi="TH SarabunPSK" w:cs="TH SarabunPSK"/>
          <w:b/>
          <w:bCs/>
          <w:sz w:val="28"/>
        </w:rPr>
        <w:fldChar w:fldCharType="end"/>
      </w:r>
    </w:p>
    <w:p w14:paraId="2671748A" w14:textId="6202AD52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7236BB84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Pr="00EE279D">
        <w:rPr>
          <w:rFonts w:ascii="TH SarabunPSK" w:hAnsi="TH SarabunPSK" w:cs="TH SarabunPSK"/>
          <w:b/>
          <w:bCs/>
          <w:sz w:val="28"/>
        </w:rPr>
        <w:fldChar w:fldCharType="begin"/>
      </w:r>
      <w:r w:rsidRPr="00EE279D">
        <w:rPr>
          <w:rFonts w:ascii="TH SarabunPSK" w:hAnsi="TH SarabunPSK" w:cs="TH SarabunPSK"/>
          <w:b/>
          <w:bCs/>
          <w:sz w:val="28"/>
        </w:rPr>
        <w:instrText xml:space="preserve"> MACROBUTTON  AcceptAllChangesInDoc ..................................................................... </w:instrText>
      </w:r>
      <w:r w:rsidRPr="00EE279D">
        <w:rPr>
          <w:rFonts w:ascii="TH SarabunPSK" w:hAnsi="TH SarabunPSK" w:cs="TH SarabunPSK"/>
          <w:b/>
          <w:bCs/>
          <w:sz w:val="28"/>
        </w:rPr>
        <w:fldChar w:fldCharType="end"/>
      </w:r>
    </w:p>
    <w:p w14:paraId="4CF34434" w14:textId="5D816933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4608F0BB" w:rsidR="00A67756" w:rsidRP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sectPr w:rsidR="00A67756" w:rsidRPr="00EE279D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3274" w14:textId="77777777" w:rsidR="00C522D8" w:rsidRDefault="00C522D8" w:rsidP="00896827">
      <w:pPr>
        <w:spacing w:after="0" w:line="240" w:lineRule="auto"/>
      </w:pPr>
      <w:r>
        <w:separator/>
      </w:r>
    </w:p>
  </w:endnote>
  <w:endnote w:type="continuationSeparator" w:id="0">
    <w:p w14:paraId="5783E1B9" w14:textId="77777777" w:rsidR="00C522D8" w:rsidRDefault="00C522D8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  <w:embedRegular r:id="rId1" w:fontKey="{FFEC4F49-DDC4-F741-9BA3-58FB29E8254B}"/>
    <w:embedBold r:id="rId2" w:fontKey="{3ADB1716-4339-CF46-83A3-CE18619EB161}"/>
    <w:embedItalic r:id="rId3" w:fontKey="{D7635E35-6D44-F94B-B53B-200DE54577F8}"/>
    <w:embedBoldItalic r:id="rId4" w:fontKey="{69C38005-3FA4-154F-8B05-2D0DA041A59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CD0339F1-EBFA-2743-8916-BD86D8B502B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21DD8A38-D56E-9F47-8E7E-70444EDE02B8}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  <w:embedRegular r:id="rId7" w:subsetted="1" w:fontKey="{F1C34680-F9F2-E743-93EF-E88F4838ECF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65C2" w14:textId="77777777" w:rsidR="00C522D8" w:rsidRDefault="00C522D8" w:rsidP="00896827">
      <w:pPr>
        <w:spacing w:after="0" w:line="240" w:lineRule="auto"/>
      </w:pPr>
      <w:r>
        <w:separator/>
      </w:r>
    </w:p>
  </w:footnote>
  <w:footnote w:type="continuationSeparator" w:id="0">
    <w:p w14:paraId="5F051A27" w14:textId="77777777" w:rsidR="00C522D8" w:rsidRDefault="00C522D8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E24E" w14:textId="542BA5EF" w:rsidR="00A94601" w:rsidRDefault="00A94601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94601" w14:paraId="4ECDAECC" w14:textId="77777777" w:rsidTr="0024069E">
      <w:tc>
        <w:tcPr>
          <w:tcW w:w="4814" w:type="dxa"/>
        </w:tcPr>
        <w:p w14:paraId="5F9A3DC9" w14:textId="2F920C1D" w:rsidR="00A94601" w:rsidRDefault="00A94601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3175DC88" w:rsidR="00A94601" w:rsidRDefault="00A94601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>โท</w:t>
          </w:r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A94601" w14:paraId="7CDCF11F" w14:textId="77777777" w:rsidTr="0024069E">
      <w:tc>
        <w:tcPr>
          <w:tcW w:w="4814" w:type="dxa"/>
        </w:tcPr>
        <w:p w14:paraId="4A9A80DF" w14:textId="5A6A7BFF" w:rsidR="00A94601" w:rsidRPr="004825C0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7083E1FD" w:rsidR="00A94601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</w:t>
          </w:r>
          <w:r>
            <w:rPr>
              <w:rFonts w:ascii="TH SarabunPSK" w:hAnsi="TH SarabunPSK" w:cs="TH SarabunPSK"/>
              <w:szCs w:val="22"/>
            </w:rPr>
            <w:t xml:space="preserve"> </w:t>
          </w:r>
          <w:r w:rsidR="00F20A46">
            <w:rPr>
              <w:rFonts w:ascii="TH SarabunPSK" w:hAnsi="TH SarabunPSK" w:cs="TH SarabunPSK" w:hint="cs"/>
              <w:szCs w:val="22"/>
              <w:cs/>
            </w:rPr>
            <w:t>วิทยาศาสตร์</w:t>
          </w:r>
          <w:r w:rsidR="00673BF0">
            <w:rPr>
              <w:rFonts w:ascii="TH SarabunPSK" w:hAnsi="TH SarabunPSK" w:cs="TH SarabunPSK" w:hint="cs"/>
              <w:szCs w:val="22"/>
              <w:cs/>
            </w:rPr>
            <w:t>และนวัตกรรมดิจิทัล</w:t>
          </w:r>
        </w:p>
      </w:tc>
    </w:tr>
    <w:tr w:rsidR="00A94601" w14:paraId="41DA316E" w14:textId="77777777" w:rsidTr="0024069E">
      <w:tc>
        <w:tcPr>
          <w:tcW w:w="4814" w:type="dxa"/>
        </w:tcPr>
        <w:p w14:paraId="60D7EBCE" w14:textId="4B3ADDAB" w:rsidR="00A94601" w:rsidRPr="004825C0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A94601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079D2FB5" w:rsidR="00A94601" w:rsidRPr="00F20A46" w:rsidRDefault="000000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sz w:val="32"/>
        <w:szCs w:val="32"/>
      </w:rPr>
    </w:pPr>
    <w:sdt>
      <w:sdtPr>
        <w:rPr>
          <w:rFonts w:ascii="TH SarabunPSK" w:eastAsia="Times New Roman" w:hAnsi="TH SarabunPSK" w:cs="TH SarabunPSK"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A94601" w:rsidRPr="00F20A46">
          <w:rPr>
            <w:rFonts w:ascii="TH SarabunPSK" w:eastAsia="Times New Roman" w:hAnsi="TH SarabunPSK" w:cs="TH SarabunPSK"/>
            <w:sz w:val="32"/>
            <w:szCs w:val="32"/>
          </w:rPr>
          <w:t xml:space="preserve">[ </w:t>
        </w:r>
        <w:r w:rsidR="00A94601" w:rsidRPr="00F20A46">
          <w:rPr>
            <w:rFonts w:ascii="TH SarabunPSK" w:eastAsia="Times New Roman" w:hAnsi="TH SarabunPSK" w:cs="TH SarabunPSK"/>
            <w:sz w:val="32"/>
            <w:szCs w:val="32"/>
          </w:rPr>
          <w:fldChar w:fldCharType="begin"/>
        </w:r>
        <w:r w:rsidR="00A94601" w:rsidRPr="00F20A46">
          <w:rPr>
            <w:rFonts w:ascii="TH SarabunPSK" w:eastAsia="Times New Roman" w:hAnsi="TH SarabunPSK" w:cs="TH SarabunPSK"/>
            <w:sz w:val="32"/>
            <w:szCs w:val="32"/>
          </w:rPr>
          <w:instrText>PAGE   \* MERGEFORMAT</w:instrText>
        </w:r>
        <w:r w:rsidR="00A94601" w:rsidRPr="00F20A46">
          <w:rPr>
            <w:rFonts w:ascii="TH SarabunPSK" w:eastAsia="Times New Roman" w:hAnsi="TH SarabunPSK" w:cs="TH SarabunPSK"/>
            <w:sz w:val="32"/>
            <w:szCs w:val="32"/>
          </w:rPr>
          <w:fldChar w:fldCharType="separate"/>
        </w:r>
        <w:r w:rsidR="00501050" w:rsidRPr="00F20A46">
          <w:rPr>
            <w:rFonts w:ascii="TH SarabunPSK" w:eastAsia="Times New Roman" w:hAnsi="TH SarabunPSK" w:cs="TH SarabunPSK"/>
            <w:noProof/>
            <w:sz w:val="32"/>
            <w:szCs w:val="32"/>
            <w:lang w:val="th-TH"/>
          </w:rPr>
          <w:t>10</w:t>
        </w:r>
        <w:r w:rsidR="00A94601" w:rsidRPr="00F20A46">
          <w:rPr>
            <w:rFonts w:ascii="TH SarabunPSK" w:eastAsia="Times New Roman" w:hAnsi="TH SarabunPSK" w:cs="TH SarabunPSK"/>
            <w:sz w:val="32"/>
            <w:szCs w:val="32"/>
          </w:rPr>
          <w:fldChar w:fldCharType="end"/>
        </w:r>
      </w:sdtContent>
    </w:sdt>
    <w:r w:rsidR="00A94601" w:rsidRPr="00F20A46">
      <w:rPr>
        <w:rFonts w:ascii="TH SarabunPSK" w:eastAsia="Times New Roman" w:hAnsi="TH SarabunPSK" w:cs="TH SarabunPSK"/>
        <w:sz w:val="32"/>
        <w:szCs w:val="32"/>
      </w:rPr>
      <w:t xml:space="preserve"> ]</w:t>
    </w:r>
    <w:r w:rsidR="00A94601" w:rsidRPr="00F20A46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83411">
    <w:abstractNumId w:val="26"/>
  </w:num>
  <w:num w:numId="2" w16cid:durableId="1035304793">
    <w:abstractNumId w:val="10"/>
  </w:num>
  <w:num w:numId="3" w16cid:durableId="222255489">
    <w:abstractNumId w:val="24"/>
  </w:num>
  <w:num w:numId="4" w16cid:durableId="1782604777">
    <w:abstractNumId w:val="29"/>
  </w:num>
  <w:num w:numId="5" w16cid:durableId="694229057">
    <w:abstractNumId w:val="17"/>
  </w:num>
  <w:num w:numId="6" w16cid:durableId="1060977045">
    <w:abstractNumId w:val="19"/>
  </w:num>
  <w:num w:numId="7" w16cid:durableId="624897631">
    <w:abstractNumId w:val="15"/>
  </w:num>
  <w:num w:numId="8" w16cid:durableId="1723090195">
    <w:abstractNumId w:val="33"/>
  </w:num>
  <w:num w:numId="9" w16cid:durableId="995915817">
    <w:abstractNumId w:val="22"/>
  </w:num>
  <w:num w:numId="10" w16cid:durableId="1751541686">
    <w:abstractNumId w:val="9"/>
  </w:num>
  <w:num w:numId="11" w16cid:durableId="1179462105">
    <w:abstractNumId w:val="0"/>
  </w:num>
  <w:num w:numId="12" w16cid:durableId="1446533931">
    <w:abstractNumId w:val="30"/>
  </w:num>
  <w:num w:numId="13" w16cid:durableId="1524979704">
    <w:abstractNumId w:val="32"/>
  </w:num>
  <w:num w:numId="14" w16cid:durableId="1113479290">
    <w:abstractNumId w:val="39"/>
  </w:num>
  <w:num w:numId="15" w16cid:durableId="383720180">
    <w:abstractNumId w:val="31"/>
  </w:num>
  <w:num w:numId="16" w16cid:durableId="840585266">
    <w:abstractNumId w:val="5"/>
  </w:num>
  <w:num w:numId="17" w16cid:durableId="1747606270">
    <w:abstractNumId w:val="1"/>
  </w:num>
  <w:num w:numId="18" w16cid:durableId="1988590419">
    <w:abstractNumId w:val="21"/>
  </w:num>
  <w:num w:numId="19" w16cid:durableId="1116216021">
    <w:abstractNumId w:val="34"/>
  </w:num>
  <w:num w:numId="20" w16cid:durableId="608856497">
    <w:abstractNumId w:val="28"/>
  </w:num>
  <w:num w:numId="21" w16cid:durableId="129638918">
    <w:abstractNumId w:val="8"/>
  </w:num>
  <w:num w:numId="22" w16cid:durableId="764035313">
    <w:abstractNumId w:val="23"/>
  </w:num>
  <w:num w:numId="23" w16cid:durableId="2109885721">
    <w:abstractNumId w:val="11"/>
  </w:num>
  <w:num w:numId="24" w16cid:durableId="1389496706">
    <w:abstractNumId w:val="36"/>
  </w:num>
  <w:num w:numId="25" w16cid:durableId="1305892402">
    <w:abstractNumId w:val="20"/>
  </w:num>
  <w:num w:numId="26" w16cid:durableId="1777407760">
    <w:abstractNumId w:val="7"/>
  </w:num>
  <w:num w:numId="27" w16cid:durableId="1937513956">
    <w:abstractNumId w:val="27"/>
  </w:num>
  <w:num w:numId="28" w16cid:durableId="437717424">
    <w:abstractNumId w:val="16"/>
  </w:num>
  <w:num w:numId="29" w16cid:durableId="139034101">
    <w:abstractNumId w:val="35"/>
  </w:num>
  <w:num w:numId="30" w16cid:durableId="113058749">
    <w:abstractNumId w:val="38"/>
  </w:num>
  <w:num w:numId="31" w16cid:durableId="562253718">
    <w:abstractNumId w:val="6"/>
  </w:num>
  <w:num w:numId="32" w16cid:durableId="1725179158">
    <w:abstractNumId w:val="12"/>
  </w:num>
  <w:num w:numId="33" w16cid:durableId="1169515878">
    <w:abstractNumId w:val="25"/>
  </w:num>
  <w:num w:numId="34" w16cid:durableId="733623140">
    <w:abstractNumId w:val="3"/>
  </w:num>
  <w:num w:numId="35" w16cid:durableId="1912419784">
    <w:abstractNumId w:val="18"/>
  </w:num>
  <w:num w:numId="36" w16cid:durableId="1255746394">
    <w:abstractNumId w:val="2"/>
  </w:num>
  <w:num w:numId="37" w16cid:durableId="836966212">
    <w:abstractNumId w:val="37"/>
  </w:num>
  <w:num w:numId="38" w16cid:durableId="1710839518">
    <w:abstractNumId w:val="14"/>
  </w:num>
  <w:num w:numId="39" w16cid:durableId="2007509667">
    <w:abstractNumId w:val="4"/>
  </w:num>
  <w:num w:numId="40" w16cid:durableId="1856379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4300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7717A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3BF0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679DE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22D8"/>
    <w:rsid w:val="00C52AE5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0A46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ED16-BACA-45EA-A5E8-DD967C92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2369</Words>
  <Characters>13505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Ajaree Naco</cp:lastModifiedBy>
  <cp:revision>4</cp:revision>
  <cp:lastPrinted>2023-04-04T08:04:00Z</cp:lastPrinted>
  <dcterms:created xsi:type="dcterms:W3CDTF">2023-10-31T11:42:00Z</dcterms:created>
  <dcterms:modified xsi:type="dcterms:W3CDTF">2023-11-02T09:08:00Z</dcterms:modified>
</cp:coreProperties>
</file>